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741" w:rsidRDefault="006E7741" w:rsidP="006E7741">
      <w:pPr>
        <w:pStyle w:val="avg-"/>
      </w:pPr>
      <w:r w:rsidRPr="00180181">
        <w:t xml:space="preserve">Таблица </w:t>
      </w:r>
      <w:r w:rsidRPr="00180181">
        <w:fldChar w:fldCharType="begin"/>
      </w:r>
      <w:r w:rsidRPr="00180181">
        <w:instrText xml:space="preserve"> STYLEREF 1 \s </w:instrText>
      </w:r>
      <w:r w:rsidRPr="00180181">
        <w:fldChar w:fldCharType="separate"/>
      </w:r>
      <w:r>
        <w:rPr>
          <w:noProof/>
        </w:rPr>
        <w:t>4</w:t>
      </w:r>
      <w:r w:rsidRPr="00180181">
        <w:fldChar w:fldCharType="end"/>
      </w:r>
      <w:r w:rsidRPr="00180181">
        <w:noBreakHyphen/>
      </w:r>
      <w:r w:rsidRPr="00180181">
        <w:fldChar w:fldCharType="begin"/>
      </w:r>
      <w:r w:rsidRPr="00180181">
        <w:instrText xml:space="preserve"> SEQ Табл. \* ARABIC \s 1 </w:instrText>
      </w:r>
      <w:r w:rsidRPr="00180181">
        <w:fldChar w:fldCharType="separate"/>
      </w:r>
      <w:r>
        <w:rPr>
          <w:noProof/>
        </w:rPr>
        <w:t>2</w:t>
      </w:r>
      <w:r w:rsidRPr="00180181">
        <w:fldChar w:fldCharType="end"/>
      </w:r>
      <w:r w:rsidRPr="0080500E">
        <w:t xml:space="preserve">. </w:t>
      </w:r>
      <w:r>
        <w:t>Сравнительный анализ результатов оценки</w:t>
      </w:r>
    </w:p>
    <w:tbl>
      <w:tblPr>
        <w:tblW w:w="15309" w:type="dxa"/>
        <w:tblInd w:w="94" w:type="dxa"/>
        <w:tblBorders>
          <w:top w:val="single" w:sz="4" w:space="0" w:color="ACB9CA" w:themeColor="text2" w:themeTint="66"/>
          <w:left w:val="single" w:sz="4" w:space="0" w:color="ACB9CA" w:themeColor="text2" w:themeTint="66"/>
          <w:bottom w:val="single" w:sz="4" w:space="0" w:color="ACB9CA" w:themeColor="text2" w:themeTint="66"/>
          <w:right w:val="single" w:sz="4" w:space="0" w:color="ACB9CA" w:themeColor="text2" w:themeTint="66"/>
          <w:insideH w:val="single" w:sz="4" w:space="0" w:color="ACB9CA" w:themeColor="text2" w:themeTint="66"/>
          <w:insideV w:val="single" w:sz="4" w:space="0" w:color="ACB9CA" w:themeColor="text2" w:themeTint="66"/>
        </w:tblBorders>
        <w:tblLayout w:type="fixed"/>
        <w:tblLook w:val="04A0" w:firstRow="1" w:lastRow="0" w:firstColumn="1" w:lastColumn="0" w:noHBand="0" w:noVBand="1"/>
      </w:tblPr>
      <w:tblGrid>
        <w:gridCol w:w="1085"/>
        <w:gridCol w:w="3442"/>
        <w:gridCol w:w="1797"/>
        <w:gridCol w:w="1797"/>
        <w:gridCol w:w="1797"/>
        <w:gridCol w:w="1797"/>
        <w:gridCol w:w="1797"/>
        <w:gridCol w:w="1797"/>
      </w:tblGrid>
      <w:tr w:rsidR="006E7741" w:rsidRPr="008E53A4" w:rsidTr="00B36E0E">
        <w:trPr>
          <w:trHeight w:val="1002"/>
        </w:trPr>
        <w:tc>
          <w:tcPr>
            <w:tcW w:w="1120" w:type="dxa"/>
            <w:vMerge w:val="restart"/>
            <w:shd w:val="clear" w:color="auto" w:fill="8496B0" w:themeFill="text2" w:themeFillTint="99"/>
            <w:vAlign w:val="center"/>
            <w:hideMark/>
          </w:tcPr>
          <w:p w:rsidR="006E7741" w:rsidRPr="008E53A4" w:rsidRDefault="006E7741" w:rsidP="00B36E0E">
            <w:pPr>
              <w:pStyle w:val="avg-0"/>
            </w:pPr>
            <w:r w:rsidRPr="008E53A4">
              <w:t>№ п/п</w:t>
            </w:r>
          </w:p>
        </w:tc>
        <w:tc>
          <w:tcPr>
            <w:tcW w:w="3572" w:type="dxa"/>
            <w:vMerge w:val="restart"/>
            <w:shd w:val="clear" w:color="auto" w:fill="8496B0" w:themeFill="text2" w:themeFillTint="99"/>
            <w:vAlign w:val="center"/>
            <w:hideMark/>
          </w:tcPr>
          <w:p w:rsidR="006E7741" w:rsidRPr="008E53A4" w:rsidRDefault="006E7741" w:rsidP="00B36E0E">
            <w:pPr>
              <w:pStyle w:val="avg-0"/>
            </w:pPr>
            <w:r w:rsidRPr="008E53A4">
              <w:t>Наименование муниципального района/городского округа</w:t>
            </w:r>
          </w:p>
        </w:tc>
        <w:tc>
          <w:tcPr>
            <w:tcW w:w="3720" w:type="dxa"/>
            <w:gridSpan w:val="2"/>
            <w:shd w:val="clear" w:color="auto" w:fill="8496B0" w:themeFill="text2" w:themeFillTint="99"/>
            <w:vAlign w:val="center"/>
            <w:hideMark/>
          </w:tcPr>
          <w:p w:rsidR="006E7741" w:rsidRPr="008E53A4" w:rsidRDefault="006E7741" w:rsidP="00B36E0E">
            <w:pPr>
              <w:pStyle w:val="avg-0"/>
            </w:pPr>
            <w:r w:rsidRPr="008E53A4">
              <w:t xml:space="preserve">Действующий удельный показатель кадастровой стоимости в разрезе видов объединений, </w:t>
            </w:r>
            <w:proofErr w:type="spellStart"/>
            <w:r w:rsidRPr="008E53A4">
              <w:t>руб</w:t>
            </w:r>
            <w:proofErr w:type="spellEnd"/>
            <w:r w:rsidRPr="008E53A4">
              <w:t>/</w:t>
            </w:r>
            <w:proofErr w:type="spellStart"/>
            <w:r w:rsidRPr="008E53A4">
              <w:t>кв.м</w:t>
            </w:r>
            <w:proofErr w:type="spellEnd"/>
          </w:p>
        </w:tc>
        <w:tc>
          <w:tcPr>
            <w:tcW w:w="3720" w:type="dxa"/>
            <w:gridSpan w:val="2"/>
            <w:shd w:val="clear" w:color="auto" w:fill="8496B0" w:themeFill="text2" w:themeFillTint="99"/>
            <w:vAlign w:val="center"/>
            <w:hideMark/>
          </w:tcPr>
          <w:p w:rsidR="006E7741" w:rsidRPr="008E53A4" w:rsidRDefault="006E7741" w:rsidP="00B36E0E">
            <w:pPr>
              <w:pStyle w:val="avg-0"/>
            </w:pPr>
            <w:r w:rsidRPr="008E53A4">
              <w:t xml:space="preserve">Рассчитанный удельный показатель кадастровой стоимости в разрезе видов объединений, </w:t>
            </w:r>
            <w:proofErr w:type="spellStart"/>
            <w:r w:rsidRPr="008E53A4">
              <w:t>руб</w:t>
            </w:r>
            <w:proofErr w:type="spellEnd"/>
            <w:r w:rsidRPr="008E53A4">
              <w:t>/</w:t>
            </w:r>
            <w:proofErr w:type="spellStart"/>
            <w:r w:rsidRPr="008E53A4">
              <w:t>кв.м</w:t>
            </w:r>
            <w:proofErr w:type="spellEnd"/>
          </w:p>
        </w:tc>
        <w:tc>
          <w:tcPr>
            <w:tcW w:w="3720" w:type="dxa"/>
            <w:gridSpan w:val="2"/>
            <w:shd w:val="clear" w:color="auto" w:fill="8496B0" w:themeFill="text2" w:themeFillTint="99"/>
            <w:vAlign w:val="center"/>
            <w:hideMark/>
          </w:tcPr>
          <w:p w:rsidR="006E7741" w:rsidRPr="008E53A4" w:rsidRDefault="006E7741" w:rsidP="00B36E0E">
            <w:pPr>
              <w:pStyle w:val="avg-0"/>
            </w:pPr>
            <w:r w:rsidRPr="008E53A4">
              <w:t>Изменение удельного</w:t>
            </w:r>
            <w:r w:rsidRPr="008E53A4">
              <w:t xml:space="preserve"> показатель кадастровой стоимости в разрезе видов объединений, рассчитанного в 2013 г. по отношению к 2009 г., </w:t>
            </w:r>
            <w:proofErr w:type="spellStart"/>
            <w:r w:rsidRPr="008E53A4">
              <w:t>руб</w:t>
            </w:r>
            <w:proofErr w:type="spellEnd"/>
            <w:r w:rsidRPr="008E53A4">
              <w:t>/</w:t>
            </w:r>
            <w:proofErr w:type="spellStart"/>
            <w:r w:rsidRPr="008E53A4">
              <w:t>кв.м</w:t>
            </w:r>
            <w:proofErr w:type="spellEnd"/>
          </w:p>
        </w:tc>
      </w:tr>
      <w:tr w:rsidR="006E7741" w:rsidRPr="008E53A4" w:rsidTr="00B36E0E">
        <w:trPr>
          <w:trHeight w:val="510"/>
        </w:trPr>
        <w:tc>
          <w:tcPr>
            <w:tcW w:w="1120" w:type="dxa"/>
            <w:vMerge/>
            <w:shd w:val="clear" w:color="auto" w:fill="8496B0" w:themeFill="text2" w:themeFillTint="99"/>
            <w:vAlign w:val="center"/>
            <w:hideMark/>
          </w:tcPr>
          <w:p w:rsidR="006E7741" w:rsidRPr="008E53A4" w:rsidRDefault="006E7741" w:rsidP="00B36E0E">
            <w:pPr>
              <w:pStyle w:val="avg-0"/>
            </w:pPr>
          </w:p>
        </w:tc>
        <w:tc>
          <w:tcPr>
            <w:tcW w:w="3572" w:type="dxa"/>
            <w:vMerge/>
            <w:shd w:val="clear" w:color="auto" w:fill="8496B0" w:themeFill="text2" w:themeFillTint="99"/>
            <w:vAlign w:val="center"/>
            <w:hideMark/>
          </w:tcPr>
          <w:p w:rsidR="006E7741" w:rsidRPr="008E53A4" w:rsidRDefault="006E7741" w:rsidP="00B36E0E">
            <w:pPr>
              <w:pStyle w:val="avg-0"/>
            </w:pPr>
          </w:p>
        </w:tc>
        <w:tc>
          <w:tcPr>
            <w:tcW w:w="1860" w:type="dxa"/>
            <w:shd w:val="clear" w:color="auto" w:fill="8496B0" w:themeFill="text2" w:themeFillTint="99"/>
            <w:vAlign w:val="center"/>
            <w:hideMark/>
          </w:tcPr>
          <w:p w:rsidR="006E7741" w:rsidRPr="008E53A4" w:rsidRDefault="006E7741" w:rsidP="00B36E0E">
            <w:pPr>
              <w:pStyle w:val="avg-0"/>
            </w:pPr>
            <w:r w:rsidRPr="008E53A4">
              <w:t>садоводческое, огородническое</w:t>
            </w:r>
          </w:p>
        </w:tc>
        <w:tc>
          <w:tcPr>
            <w:tcW w:w="1860" w:type="dxa"/>
            <w:shd w:val="clear" w:color="auto" w:fill="8496B0" w:themeFill="text2" w:themeFillTint="99"/>
            <w:vAlign w:val="center"/>
            <w:hideMark/>
          </w:tcPr>
          <w:p w:rsidR="006E7741" w:rsidRPr="008E53A4" w:rsidRDefault="006E7741" w:rsidP="00B36E0E">
            <w:pPr>
              <w:pStyle w:val="avg-0"/>
            </w:pPr>
            <w:r w:rsidRPr="008E53A4">
              <w:t>дачное</w:t>
            </w:r>
          </w:p>
        </w:tc>
        <w:tc>
          <w:tcPr>
            <w:tcW w:w="1860" w:type="dxa"/>
            <w:shd w:val="clear" w:color="auto" w:fill="8496B0" w:themeFill="text2" w:themeFillTint="99"/>
            <w:vAlign w:val="center"/>
            <w:hideMark/>
          </w:tcPr>
          <w:p w:rsidR="006E7741" w:rsidRPr="008E53A4" w:rsidRDefault="006E7741" w:rsidP="00B36E0E">
            <w:pPr>
              <w:pStyle w:val="avg-0"/>
            </w:pPr>
            <w:r w:rsidRPr="008E53A4">
              <w:t>садоводческое, огородническое</w:t>
            </w:r>
          </w:p>
        </w:tc>
        <w:tc>
          <w:tcPr>
            <w:tcW w:w="1860" w:type="dxa"/>
            <w:shd w:val="clear" w:color="auto" w:fill="8496B0" w:themeFill="text2" w:themeFillTint="99"/>
            <w:vAlign w:val="center"/>
            <w:hideMark/>
          </w:tcPr>
          <w:p w:rsidR="006E7741" w:rsidRPr="008E53A4" w:rsidRDefault="006E7741" w:rsidP="00B36E0E">
            <w:pPr>
              <w:pStyle w:val="avg-0"/>
            </w:pPr>
            <w:r w:rsidRPr="008E53A4">
              <w:t>дачное</w:t>
            </w:r>
          </w:p>
        </w:tc>
        <w:tc>
          <w:tcPr>
            <w:tcW w:w="1860" w:type="dxa"/>
            <w:shd w:val="clear" w:color="auto" w:fill="8496B0" w:themeFill="text2" w:themeFillTint="99"/>
            <w:vAlign w:val="center"/>
            <w:hideMark/>
          </w:tcPr>
          <w:p w:rsidR="006E7741" w:rsidRPr="008E53A4" w:rsidRDefault="006E7741" w:rsidP="00B36E0E">
            <w:pPr>
              <w:pStyle w:val="avg-0"/>
            </w:pPr>
            <w:r w:rsidRPr="008E53A4">
              <w:t>садоводческое, огородническое</w:t>
            </w:r>
          </w:p>
        </w:tc>
        <w:tc>
          <w:tcPr>
            <w:tcW w:w="1860" w:type="dxa"/>
            <w:shd w:val="clear" w:color="auto" w:fill="8496B0" w:themeFill="text2" w:themeFillTint="99"/>
            <w:vAlign w:val="center"/>
            <w:hideMark/>
          </w:tcPr>
          <w:p w:rsidR="006E7741" w:rsidRPr="008E53A4" w:rsidRDefault="006E7741" w:rsidP="00B36E0E">
            <w:pPr>
              <w:pStyle w:val="avg-0"/>
            </w:pPr>
            <w:r w:rsidRPr="008E53A4">
              <w:t>дачное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8496B0" w:themeFill="text2" w:themeFillTint="99"/>
            <w:noWrap/>
            <w:vAlign w:val="bottom"/>
            <w:hideMark/>
          </w:tcPr>
          <w:p w:rsidR="006E7741" w:rsidRPr="008E53A4" w:rsidRDefault="006E7741" w:rsidP="00B36E0E">
            <w:pPr>
              <w:pStyle w:val="avg-0"/>
            </w:pPr>
            <w:r w:rsidRPr="008E53A4">
              <w:t>1</w:t>
            </w:r>
          </w:p>
        </w:tc>
        <w:tc>
          <w:tcPr>
            <w:tcW w:w="3572" w:type="dxa"/>
            <w:shd w:val="clear" w:color="auto" w:fill="8496B0" w:themeFill="text2" w:themeFillTint="99"/>
            <w:noWrap/>
            <w:vAlign w:val="bottom"/>
            <w:hideMark/>
          </w:tcPr>
          <w:p w:rsidR="006E7741" w:rsidRPr="008E53A4" w:rsidRDefault="006E7741" w:rsidP="00B36E0E">
            <w:pPr>
              <w:pStyle w:val="avg-0"/>
            </w:pPr>
            <w:r w:rsidRPr="008E53A4">
              <w:t>2</w:t>
            </w:r>
          </w:p>
        </w:tc>
        <w:tc>
          <w:tcPr>
            <w:tcW w:w="1860" w:type="dxa"/>
            <w:shd w:val="clear" w:color="auto" w:fill="8496B0" w:themeFill="text2" w:themeFillTint="99"/>
            <w:vAlign w:val="center"/>
            <w:hideMark/>
          </w:tcPr>
          <w:p w:rsidR="006E7741" w:rsidRPr="008E53A4" w:rsidRDefault="006E7741" w:rsidP="00B36E0E">
            <w:pPr>
              <w:pStyle w:val="avg-0"/>
            </w:pPr>
            <w:r w:rsidRPr="008E53A4">
              <w:t>3</w:t>
            </w:r>
          </w:p>
        </w:tc>
        <w:tc>
          <w:tcPr>
            <w:tcW w:w="1860" w:type="dxa"/>
            <w:shd w:val="clear" w:color="auto" w:fill="8496B0" w:themeFill="text2" w:themeFillTint="99"/>
            <w:vAlign w:val="center"/>
            <w:hideMark/>
          </w:tcPr>
          <w:p w:rsidR="006E7741" w:rsidRPr="008E53A4" w:rsidRDefault="006E7741" w:rsidP="00B36E0E">
            <w:pPr>
              <w:pStyle w:val="avg-0"/>
            </w:pPr>
            <w:r w:rsidRPr="008E53A4">
              <w:t>4</w:t>
            </w:r>
          </w:p>
        </w:tc>
        <w:tc>
          <w:tcPr>
            <w:tcW w:w="1860" w:type="dxa"/>
            <w:shd w:val="clear" w:color="auto" w:fill="8496B0" w:themeFill="text2" w:themeFillTint="99"/>
            <w:vAlign w:val="center"/>
            <w:hideMark/>
          </w:tcPr>
          <w:p w:rsidR="006E7741" w:rsidRPr="008E53A4" w:rsidRDefault="006E7741" w:rsidP="00B36E0E">
            <w:pPr>
              <w:pStyle w:val="avg-0"/>
            </w:pPr>
            <w:r w:rsidRPr="008E53A4">
              <w:t>5</w:t>
            </w:r>
          </w:p>
        </w:tc>
        <w:tc>
          <w:tcPr>
            <w:tcW w:w="1860" w:type="dxa"/>
            <w:shd w:val="clear" w:color="auto" w:fill="8496B0" w:themeFill="text2" w:themeFillTint="99"/>
            <w:vAlign w:val="center"/>
            <w:hideMark/>
          </w:tcPr>
          <w:p w:rsidR="006E7741" w:rsidRPr="008E53A4" w:rsidRDefault="006E7741" w:rsidP="00B36E0E">
            <w:pPr>
              <w:pStyle w:val="avg-0"/>
            </w:pPr>
            <w:r w:rsidRPr="008E53A4">
              <w:t>6</w:t>
            </w:r>
          </w:p>
        </w:tc>
        <w:tc>
          <w:tcPr>
            <w:tcW w:w="1860" w:type="dxa"/>
            <w:shd w:val="clear" w:color="auto" w:fill="8496B0" w:themeFill="text2" w:themeFillTint="99"/>
            <w:vAlign w:val="center"/>
            <w:hideMark/>
          </w:tcPr>
          <w:p w:rsidR="006E7741" w:rsidRPr="008E53A4" w:rsidRDefault="006E7741" w:rsidP="00B36E0E">
            <w:pPr>
              <w:pStyle w:val="avg-0"/>
            </w:pPr>
            <w:r w:rsidRPr="008E53A4">
              <w:t>5</w:t>
            </w:r>
          </w:p>
        </w:tc>
        <w:tc>
          <w:tcPr>
            <w:tcW w:w="1860" w:type="dxa"/>
            <w:shd w:val="clear" w:color="auto" w:fill="8496B0" w:themeFill="text2" w:themeFillTint="99"/>
            <w:vAlign w:val="center"/>
            <w:hideMark/>
          </w:tcPr>
          <w:p w:rsidR="006E7741" w:rsidRPr="008E53A4" w:rsidRDefault="006E7741" w:rsidP="00B36E0E">
            <w:pPr>
              <w:pStyle w:val="avg-0"/>
            </w:pPr>
            <w:r w:rsidRPr="008E53A4">
              <w:t>6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1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Волоколамский муниципальный район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222.54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482.29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642.45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117%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2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Воскресенский муниципальный район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467.54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503.27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598.58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8%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3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Дмитровский муниципальный район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670.73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783.26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932.01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1 165.24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39%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49%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4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Егорьевский муниципальный район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240.05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371.10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477.47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55%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5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Сергиево-Посадский муниципальный район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716.48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1 401.60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985.66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1 107.61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38%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-21%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6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Зарайский муниципальный район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109.78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259.99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276.55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137%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7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proofErr w:type="spellStart"/>
            <w:r w:rsidRPr="000B1809">
              <w:t>Истринский</w:t>
            </w:r>
            <w:proofErr w:type="spellEnd"/>
            <w:r w:rsidRPr="000B1809">
              <w:t xml:space="preserve"> муниципальный район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808.71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2 419.80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2 136.42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2 534.93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164%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5%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8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Каширский муниципальный район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216.59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206.68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435.46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579.66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101%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180%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9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Клинский муниципальный район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333.69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577.99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701.96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73%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10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Коломенский муниципальный район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224.07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404.95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570.65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81%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11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Красногорский муниципальный район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3 609.90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3 713.63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4 240.15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4 487.65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17%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21%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12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Ленинский муниципальный район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3 776.87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3 509.79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3 340.74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3 911.68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-12%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11%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13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Лотошинский муниципальный район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134.66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377.40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474.48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180%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14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Луховицкий муниципальный район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155.74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185.31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295.50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452.78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90%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144%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15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Люберецкий муниципальный район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2 765.69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3 421.54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2 680.73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3 165.18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-3%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-7%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16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Можайский муниципальный район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213.55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322.98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496.98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631.89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133%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96%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17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Мытищинский муниципальный район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3 336.13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2 737.91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3 443.81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3 899.56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3%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42%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18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Наро-Фоминский муниципальный район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627.56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1 911.71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884.65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1 186.26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41%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-38%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19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Ногинский муниципальный район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854.65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920.59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1 061.71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8%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20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Одинцовский муниципальный район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1 681.27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2 652.19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2 50</w:t>
            </w:r>
            <w:r>
              <w:t>6</w:t>
            </w:r>
            <w:r w:rsidRPr="000B1809">
              <w:t>.</w:t>
            </w:r>
            <w:r>
              <w:t>01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3 741.83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49%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41%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21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Озерский муниципальный район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134.64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151.67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401.52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563.29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198%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271%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lastRenderedPageBreak/>
              <w:t>22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Орехово-Зуевский муниципальный район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291.47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477.78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627.82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64%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23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Павлово-Посадский муниципальный район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620.22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>
              <w:t>787.79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1 016.66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</w:t>
            </w:r>
            <w:r>
              <w:t>7</w:t>
            </w:r>
            <w:r w:rsidRPr="000B1809">
              <w:t>%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24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Подольский муниципальный район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1 779.42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2 245.56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2 569.62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2 968.44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44%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32%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25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Пушкинский муниципальный район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1 791.37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2 716.21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3 555.81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52%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26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Раменский муниципальный район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780.46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2 179.11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872.00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1 025.45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12%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-53%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27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Рузский муниципальный район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519.91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648.95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559.15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700.82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8%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8%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28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Серебряно-Прудский муниципальный район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83.66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252.14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264.60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201%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29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proofErr w:type="spellStart"/>
            <w:r w:rsidRPr="000B1809">
              <w:t>Серпуховский</w:t>
            </w:r>
            <w:proofErr w:type="spellEnd"/>
            <w:r w:rsidRPr="000B1809">
              <w:t xml:space="preserve"> муниципальный район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265.97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575.77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467.25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612.98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76%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6%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30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proofErr w:type="spellStart"/>
            <w:r w:rsidRPr="000B1809">
              <w:t>Солнечногорский</w:t>
            </w:r>
            <w:proofErr w:type="spellEnd"/>
            <w:r w:rsidRPr="000B1809">
              <w:t xml:space="preserve"> муниципальный район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832.84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2 223.74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2 140.88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2 566.37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157%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15%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31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Ступинский муниципальный район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465.96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755.56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980.17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62%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32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Талдомский муниципальный район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282.22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518.71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542.91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644.20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92%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24%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33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Чеховский муниципальный район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722.78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1 176.94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872.91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1 029.46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21%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-13%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34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Шатурский муниципальный район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159.59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333.07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433.51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109%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</w:tr>
      <w:tr w:rsidR="006E7741" w:rsidRPr="008E53A4" w:rsidTr="006E7741">
        <w:trPr>
          <w:trHeight w:val="255"/>
        </w:trPr>
        <w:tc>
          <w:tcPr>
            <w:tcW w:w="1120" w:type="dxa"/>
            <w:tcBorders>
              <w:bottom w:val="single" w:sz="4" w:space="0" w:color="FF0000"/>
            </w:tcBorders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35</w:t>
            </w:r>
          </w:p>
        </w:tc>
        <w:tc>
          <w:tcPr>
            <w:tcW w:w="3572" w:type="dxa"/>
            <w:tcBorders>
              <w:bottom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Шаховской муниципальный район</w:t>
            </w:r>
          </w:p>
        </w:tc>
        <w:tc>
          <w:tcPr>
            <w:tcW w:w="1860" w:type="dxa"/>
            <w:tcBorders>
              <w:bottom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469.36</w:t>
            </w:r>
          </w:p>
        </w:tc>
        <w:tc>
          <w:tcPr>
            <w:tcW w:w="1860" w:type="dxa"/>
            <w:tcBorders>
              <w:bottom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135.51</w:t>
            </w:r>
          </w:p>
        </w:tc>
        <w:tc>
          <w:tcPr>
            <w:tcW w:w="1860" w:type="dxa"/>
            <w:tcBorders>
              <w:bottom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378.31</w:t>
            </w:r>
          </w:p>
        </w:tc>
        <w:tc>
          <w:tcPr>
            <w:tcW w:w="1860" w:type="dxa"/>
            <w:tcBorders>
              <w:bottom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483.84</w:t>
            </w:r>
          </w:p>
        </w:tc>
        <w:tc>
          <w:tcPr>
            <w:tcW w:w="1860" w:type="dxa"/>
            <w:tcBorders>
              <w:bottom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-19%</w:t>
            </w:r>
          </w:p>
        </w:tc>
        <w:tc>
          <w:tcPr>
            <w:tcW w:w="1860" w:type="dxa"/>
            <w:tcBorders>
              <w:bottom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257%</w:t>
            </w:r>
          </w:p>
        </w:tc>
      </w:tr>
      <w:tr w:rsidR="006E7741" w:rsidRPr="008E53A4" w:rsidTr="006E7741">
        <w:trPr>
          <w:trHeight w:val="255"/>
        </w:trPr>
        <w:tc>
          <w:tcPr>
            <w:tcW w:w="1120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D5DCE4" w:themeFill="text2" w:themeFillTint="33"/>
            <w:noWrap/>
            <w:vAlign w:val="bottom"/>
            <w:hideMark/>
          </w:tcPr>
          <w:p w:rsidR="006E7741" w:rsidRPr="006E7741" w:rsidRDefault="006E7741" w:rsidP="00B36E0E">
            <w:pPr>
              <w:pStyle w:val="avg--"/>
            </w:pPr>
            <w:r w:rsidRPr="006E7741">
              <w:t>36</w:t>
            </w:r>
          </w:p>
        </w:tc>
        <w:tc>
          <w:tcPr>
            <w:tcW w:w="357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6E7741" w:rsidRPr="006E7741" w:rsidRDefault="006E7741" w:rsidP="00B36E0E">
            <w:pPr>
              <w:pStyle w:val="avg-1"/>
            </w:pPr>
            <w:r w:rsidRPr="006E7741">
              <w:t>Щелковский муниципальный район</w:t>
            </w:r>
          </w:p>
        </w:tc>
        <w:tc>
          <w:tcPr>
            <w:tcW w:w="1860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6E7741" w:rsidRPr="006E7741" w:rsidRDefault="006E7741" w:rsidP="00B36E0E">
            <w:pPr>
              <w:pStyle w:val="avg-1"/>
            </w:pPr>
            <w:r w:rsidRPr="006E7741">
              <w:t>838.98</w:t>
            </w:r>
          </w:p>
        </w:tc>
        <w:tc>
          <w:tcPr>
            <w:tcW w:w="1860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6E7741" w:rsidRPr="006E7741" w:rsidRDefault="006E7741" w:rsidP="00B36E0E">
            <w:pPr>
              <w:pStyle w:val="avg-1"/>
            </w:pPr>
            <w:r w:rsidRPr="006E7741">
              <w:rPr>
                <w:highlight w:val="yellow"/>
              </w:rPr>
              <w:t>2 977.91</w:t>
            </w:r>
          </w:p>
        </w:tc>
        <w:tc>
          <w:tcPr>
            <w:tcW w:w="1860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6E7741" w:rsidRPr="006E7741" w:rsidRDefault="006E7741" w:rsidP="00B36E0E">
            <w:pPr>
              <w:pStyle w:val="avg-1"/>
            </w:pPr>
            <w:r w:rsidRPr="006E7741">
              <w:t>1 956.48</w:t>
            </w:r>
          </w:p>
        </w:tc>
        <w:tc>
          <w:tcPr>
            <w:tcW w:w="1860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6E7741" w:rsidRPr="006E7741" w:rsidRDefault="006E7741" w:rsidP="00B36E0E">
            <w:pPr>
              <w:pStyle w:val="avg-1"/>
            </w:pPr>
            <w:r w:rsidRPr="006E7741">
              <w:rPr>
                <w:highlight w:val="yellow"/>
              </w:rPr>
              <w:t>2 290.21</w:t>
            </w:r>
          </w:p>
        </w:tc>
        <w:tc>
          <w:tcPr>
            <w:tcW w:w="1860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6E7741" w:rsidRPr="006E7741" w:rsidRDefault="006E7741" w:rsidP="00B36E0E">
            <w:pPr>
              <w:pStyle w:val="avg-1"/>
            </w:pPr>
            <w:r w:rsidRPr="006E7741">
              <w:t>133%</w:t>
            </w:r>
          </w:p>
        </w:tc>
        <w:tc>
          <w:tcPr>
            <w:tcW w:w="1860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6E7741" w:rsidRPr="006E7741" w:rsidRDefault="006E7741" w:rsidP="00B36E0E">
            <w:pPr>
              <w:pStyle w:val="avg-1"/>
            </w:pPr>
            <w:r w:rsidRPr="006E7741">
              <w:rPr>
                <w:highlight w:val="yellow"/>
              </w:rPr>
              <w:t>-23%</w:t>
            </w:r>
          </w:p>
        </w:tc>
      </w:tr>
      <w:tr w:rsidR="006E7741" w:rsidRPr="008E53A4" w:rsidTr="006E7741">
        <w:trPr>
          <w:trHeight w:val="255"/>
        </w:trPr>
        <w:tc>
          <w:tcPr>
            <w:tcW w:w="1120" w:type="dxa"/>
            <w:tcBorders>
              <w:top w:val="single" w:sz="4" w:space="0" w:color="FF0000"/>
            </w:tcBorders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37</w:t>
            </w:r>
          </w:p>
        </w:tc>
        <w:tc>
          <w:tcPr>
            <w:tcW w:w="3572" w:type="dxa"/>
            <w:tcBorders>
              <w:top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 Город Балашиха</w:t>
            </w:r>
          </w:p>
        </w:tc>
        <w:tc>
          <w:tcPr>
            <w:tcW w:w="1860" w:type="dxa"/>
            <w:tcBorders>
              <w:top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2 867.83</w:t>
            </w:r>
          </w:p>
        </w:tc>
        <w:tc>
          <w:tcPr>
            <w:tcW w:w="1860" w:type="dxa"/>
            <w:tcBorders>
              <w:top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3 579.68</w:t>
            </w:r>
          </w:p>
        </w:tc>
        <w:tc>
          <w:tcPr>
            <w:tcW w:w="1860" w:type="dxa"/>
            <w:tcBorders>
              <w:top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2 796.20</w:t>
            </w:r>
          </w:p>
        </w:tc>
        <w:tc>
          <w:tcPr>
            <w:tcW w:w="1860" w:type="dxa"/>
            <w:tcBorders>
              <w:top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3 261.30</w:t>
            </w:r>
          </w:p>
        </w:tc>
        <w:tc>
          <w:tcPr>
            <w:tcW w:w="1860" w:type="dxa"/>
            <w:tcBorders>
              <w:top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-2%</w:t>
            </w:r>
          </w:p>
        </w:tc>
        <w:tc>
          <w:tcPr>
            <w:tcW w:w="1860" w:type="dxa"/>
            <w:tcBorders>
              <w:top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-9%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38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 Город Домодедово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1 498.45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2 015.12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2 088.72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2 571.56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39%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28%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39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 Город Долгопрудный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3 357.90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4 450.34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40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 Город Дубна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509.8</w:t>
            </w:r>
            <w:r>
              <w:t>8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41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 Город Железнодорожный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2 322.45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2 157.91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42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 Город Жуковский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1 273.84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43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 Город Звенигород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2 752.44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3 138.06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44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 Город Ивантеевка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3 192.44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45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 Город Королев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  <w:bookmarkStart w:id="0" w:name="_GoBack"/>
            <w:bookmarkEnd w:id="0"/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3 184.52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3 994.78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46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 Город Климовск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2 255.41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</w:tr>
      <w:tr w:rsidR="006E7741" w:rsidRPr="008E53A4" w:rsidTr="00B36E0E">
        <w:trPr>
          <w:trHeight w:val="255"/>
        </w:trPr>
        <w:tc>
          <w:tcPr>
            <w:tcW w:w="1120" w:type="dxa"/>
            <w:shd w:val="clear" w:color="auto" w:fill="D5DCE4" w:themeFill="text2" w:themeFillTint="33"/>
            <w:noWrap/>
            <w:vAlign w:val="bottom"/>
            <w:hideMark/>
          </w:tcPr>
          <w:p w:rsidR="006E7741" w:rsidRPr="008E53A4" w:rsidRDefault="006E7741" w:rsidP="00B36E0E">
            <w:pPr>
              <w:pStyle w:val="avg--"/>
            </w:pPr>
            <w:r w:rsidRPr="008E53A4">
              <w:t>47</w:t>
            </w:r>
          </w:p>
        </w:tc>
        <w:tc>
          <w:tcPr>
            <w:tcW w:w="3572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 Город Коломна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452.09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-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  <w:tc>
          <w:tcPr>
            <w:tcW w:w="1860" w:type="dxa"/>
            <w:shd w:val="clear" w:color="auto" w:fill="auto"/>
            <w:noWrap/>
            <w:vAlign w:val="bottom"/>
            <w:hideMark/>
          </w:tcPr>
          <w:p w:rsidR="006E7741" w:rsidRPr="000B1809" w:rsidRDefault="006E7741" w:rsidP="00B36E0E">
            <w:pPr>
              <w:pStyle w:val="avg-1"/>
            </w:pPr>
            <w:r w:rsidRPr="000B1809">
              <w:t> </w:t>
            </w:r>
          </w:p>
        </w:tc>
      </w:tr>
    </w:tbl>
    <w:p w:rsidR="000558E7" w:rsidRDefault="003C5B5E"/>
    <w:sectPr w:rsidR="000558E7" w:rsidSect="006E774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5F5"/>
    <w:rsid w:val="003C5B5E"/>
    <w:rsid w:val="006E7741"/>
    <w:rsid w:val="00B941CC"/>
    <w:rsid w:val="00ED3229"/>
    <w:rsid w:val="00F84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470446-F956-4A11-99DB-05D83E21E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7741"/>
    <w:pPr>
      <w:spacing w:after="0" w:line="240" w:lineRule="auto"/>
    </w:pPr>
    <w:rPr>
      <w:rFonts w:ascii="Myriad Pro" w:eastAsia="Times New Roman" w:hAnsi="Myriad Pro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vg-">
    <w:name w:val="avg-Название таблицы"/>
    <w:basedOn w:val="a"/>
    <w:next w:val="a"/>
    <w:qFormat/>
    <w:rsid w:val="006E7741"/>
    <w:pPr>
      <w:keepNext/>
      <w:spacing w:before="240" w:after="180" w:line="216" w:lineRule="auto"/>
    </w:pPr>
    <w:rPr>
      <w:rFonts w:ascii="Arial Narrow" w:hAnsi="Arial Narrow"/>
      <w:b/>
      <w:bCs/>
      <w:sz w:val="20"/>
      <w:szCs w:val="22"/>
    </w:rPr>
  </w:style>
  <w:style w:type="paragraph" w:customStyle="1" w:styleId="avg--">
    <w:name w:val="avg-Таблица-первый столбец"/>
    <w:basedOn w:val="a"/>
    <w:qFormat/>
    <w:rsid w:val="006E7741"/>
    <w:pPr>
      <w:spacing w:before="60" w:after="60" w:line="192" w:lineRule="auto"/>
    </w:pPr>
    <w:rPr>
      <w:rFonts w:ascii="Arial Narrow" w:hAnsi="Arial Narrow"/>
      <w:sz w:val="20"/>
    </w:rPr>
  </w:style>
  <w:style w:type="paragraph" w:customStyle="1" w:styleId="avg-0">
    <w:name w:val="avg-Таблица Шапка"/>
    <w:basedOn w:val="avg-1"/>
    <w:qFormat/>
    <w:rsid w:val="006E7741"/>
    <w:pPr>
      <w:keepNext/>
      <w:keepLines/>
    </w:pPr>
    <w:rPr>
      <w:color w:val="FFFFFF"/>
    </w:rPr>
  </w:style>
  <w:style w:type="paragraph" w:customStyle="1" w:styleId="avg-1">
    <w:name w:val="avg-Таблица текст"/>
    <w:basedOn w:val="a"/>
    <w:qFormat/>
    <w:rsid w:val="006E7741"/>
    <w:pPr>
      <w:spacing w:before="60" w:after="60" w:line="192" w:lineRule="auto"/>
      <w:jc w:val="center"/>
    </w:pPr>
    <w:rPr>
      <w:rFonts w:ascii="Arial Narrow" w:hAnsi="Arial Narro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558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</dc:creator>
  <cp:keywords/>
  <dc:description/>
  <cp:lastModifiedBy>Ada</cp:lastModifiedBy>
  <cp:revision>2</cp:revision>
  <dcterms:created xsi:type="dcterms:W3CDTF">2015-03-26T09:24:00Z</dcterms:created>
  <dcterms:modified xsi:type="dcterms:W3CDTF">2015-03-26T11:02:00Z</dcterms:modified>
</cp:coreProperties>
</file>